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920" w:right="740"/>
        </w:sectPr>
      </w:pPr>
    </w:p>
    <w:p>
      <w:pPr>
        <w:pStyle w:val="BodyText"/>
        <w:spacing w:before="92"/>
        <w:jc w:val="right"/>
      </w:pPr>
      <w:r>
        <w:rPr>
          <w:spacing w:val="-2"/>
        </w:rPr>
        <w:t>Додаток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spacing w:before="1"/>
        <w:ind w:left="0" w:right="44" w:firstLine="0"/>
        <w:jc w:val="right"/>
        <w:rPr>
          <w:sz w:val="14"/>
        </w:rPr>
      </w:pPr>
      <w:r>
        <w:rPr>
          <w:w w:val="105"/>
          <w:sz w:val="14"/>
        </w:rPr>
        <w:t>до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рішення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04"/>
        <w:ind w:left="96" w:right="0" w:firstLine="0"/>
        <w:jc w:val="left"/>
        <w:rPr>
          <w:sz w:val="14"/>
        </w:rPr>
      </w:pPr>
      <w:r>
        <w:rPr>
          <w:sz w:val="14"/>
        </w:rPr>
        <w:t>сесії</w:t>
      </w:r>
      <w:r>
        <w:rPr>
          <w:spacing w:val="45"/>
          <w:sz w:val="14"/>
        </w:rPr>
        <w:t> </w:t>
      </w:r>
      <w:r>
        <w:rPr>
          <w:sz w:val="14"/>
        </w:rPr>
        <w:t>Мелітопольської</w:t>
      </w:r>
      <w:r>
        <w:rPr>
          <w:spacing w:val="1"/>
          <w:sz w:val="14"/>
        </w:rPr>
        <w:t> </w:t>
      </w:r>
      <w:r>
        <w:rPr>
          <w:sz w:val="14"/>
        </w:rPr>
        <w:t>міської</w:t>
      </w:r>
      <w:r>
        <w:rPr>
          <w:spacing w:val="1"/>
          <w:sz w:val="14"/>
        </w:rPr>
        <w:t> </w:t>
      </w:r>
      <w:r>
        <w:rPr>
          <w:spacing w:val="-4"/>
          <w:sz w:val="14"/>
        </w:rPr>
        <w:t>ради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500" w:bottom="280" w:left="920" w:right="740"/>
          <w:cols w:num="2" w:equalWidth="0">
            <w:col w:w="7682" w:space="40"/>
            <w:col w:w="2858"/>
          </w:cols>
        </w:sectPr>
      </w:pPr>
    </w:p>
    <w:p>
      <w:pPr>
        <w:pStyle w:val="BodyText"/>
        <w:spacing w:line="20" w:lineRule="exact"/>
        <w:ind w:left="7674"/>
        <w:rPr>
          <w:sz w:val="2"/>
        </w:rPr>
      </w:pPr>
      <w:r>
        <w:rPr>
          <w:sz w:val="2"/>
        </w:rPr>
        <w:pict>
          <v:group style="width:7.25pt;height:.3pt;mso-position-horizontal-relative:char;mso-position-vertical-relative:line" id="docshapegroup1" coordorigin="0,0" coordsize="145,6">
            <v:line style="position:absolute" from="0,3" to="144,3" stroked="true" strokeweight=".288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172" w:val="left" w:leader="none"/>
        </w:tabs>
        <w:spacing w:before="1"/>
        <w:ind w:left="6954" w:right="0" w:firstLine="0"/>
        <w:jc w:val="left"/>
        <w:rPr>
          <w:sz w:val="14"/>
        </w:rPr>
      </w:pPr>
      <w:r>
        <w:rPr>
          <w:sz w:val="14"/>
        </w:rPr>
        <w:t>Запорізької</w:t>
      </w:r>
      <w:r>
        <w:rPr>
          <w:spacing w:val="1"/>
          <w:sz w:val="14"/>
        </w:rPr>
        <w:t> </w:t>
      </w:r>
      <w:r>
        <w:rPr>
          <w:sz w:val="14"/>
        </w:rPr>
        <w:t>області</w:t>
      </w:r>
      <w:r>
        <w:rPr>
          <w:spacing w:val="1"/>
          <w:sz w:val="14"/>
        </w:rPr>
        <w:t> </w:t>
      </w:r>
      <w:r>
        <w:rPr>
          <w:sz w:val="14"/>
        </w:rPr>
        <w:t>VII</w:t>
      </w:r>
      <w:r>
        <w:rPr>
          <w:spacing w:val="3"/>
          <w:sz w:val="14"/>
        </w:rPr>
        <w:t> </w:t>
      </w:r>
      <w:r>
        <w:rPr>
          <w:sz w:val="14"/>
        </w:rPr>
        <w:t>скликання</w:t>
      </w:r>
      <w:r>
        <w:rPr>
          <w:spacing w:val="9"/>
          <w:sz w:val="14"/>
        </w:rPr>
        <w:t> </w:t>
      </w:r>
      <w:r>
        <w:rPr>
          <w:sz w:val="14"/>
        </w:rPr>
        <w:t>від</w:t>
      </w:r>
      <w:r>
        <w:rPr>
          <w:spacing w:val="6"/>
          <w:sz w:val="14"/>
        </w:rPr>
        <w:t> </w:t>
      </w:r>
      <w:r>
        <w:rPr>
          <w:sz w:val="14"/>
          <w:u w:val="single"/>
        </w:rPr>
        <w:tab/>
      </w:r>
    </w:p>
    <w:p>
      <w:pPr>
        <w:spacing w:before="22"/>
        <w:ind w:left="6954" w:right="0" w:firstLine="0"/>
        <w:jc w:val="left"/>
        <w:rPr>
          <w:sz w:val="14"/>
        </w:rPr>
      </w:pPr>
      <w:r>
        <w:rPr>
          <w:w w:val="103"/>
          <w:sz w:val="14"/>
        </w:rPr>
        <w:t>№</w:t>
      </w:r>
    </w:p>
    <w:p>
      <w:pPr>
        <w:pStyle w:val="BodyText"/>
        <w:spacing w:line="20" w:lineRule="exact"/>
        <w:ind w:left="7093"/>
        <w:rPr>
          <w:sz w:val="2"/>
        </w:rPr>
      </w:pPr>
      <w:r>
        <w:rPr>
          <w:sz w:val="2"/>
        </w:rPr>
        <w:pict>
          <v:group style="width:7.25pt;height:.3pt;mso-position-horizontal-relative:char;mso-position-vertical-relative:line" id="docshapegroup2" coordorigin="0,0" coordsize="145,6">
            <v:line style="position:absolute" from="0,3" to="144,3" stroked="true" strokeweight=".288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Title"/>
      </w:pPr>
      <w:r>
        <w:rPr/>
        <w:t>Фінансування</w:t>
      </w:r>
      <w:r>
        <w:rPr>
          <w:spacing w:val="9"/>
        </w:rPr>
        <w:t> </w:t>
      </w:r>
      <w:r>
        <w:rPr/>
        <w:t>бюджету</w:t>
      </w:r>
      <w:r>
        <w:rPr>
          <w:spacing w:val="-5"/>
        </w:rPr>
        <w:t> </w:t>
      </w:r>
      <w:r>
        <w:rPr/>
        <w:t>м.</w:t>
      </w:r>
      <w:r>
        <w:rPr>
          <w:spacing w:val="9"/>
        </w:rPr>
        <w:t> </w:t>
      </w:r>
      <w:r>
        <w:rPr/>
        <w:t>Мелітополя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/>
        <w:t>2018</w:t>
      </w:r>
      <w:r>
        <w:rPr>
          <w:spacing w:val="12"/>
        </w:rPr>
        <w:t> </w:t>
      </w:r>
      <w:r>
        <w:rPr>
          <w:spacing w:val="-5"/>
        </w:rPr>
        <w:t>рік</w:t>
      </w:r>
    </w:p>
    <w:p>
      <w:pPr>
        <w:pStyle w:val="BodyText"/>
        <w:spacing w:before="7"/>
        <w:rPr>
          <w:sz w:val="21"/>
        </w:rPr>
      </w:pPr>
    </w:p>
    <w:p>
      <w:pPr>
        <w:spacing w:before="99" w:after="5"/>
        <w:ind w:left="0" w:right="887" w:firstLine="0"/>
        <w:jc w:val="right"/>
        <w:rPr>
          <w:sz w:val="18"/>
        </w:rPr>
      </w:pPr>
      <w:r>
        <w:rPr>
          <w:spacing w:val="-4"/>
          <w:w w:val="105"/>
          <w:sz w:val="18"/>
        </w:rPr>
        <w:t>грн.</w:t>
      </w:r>
    </w:p>
    <w:tbl>
      <w:tblPr>
        <w:tblW w:w="0" w:type="auto"/>
        <w:jc w:val="left"/>
        <w:tblInd w:w="11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816"/>
        <w:gridCol w:w="1320"/>
        <w:gridCol w:w="1287"/>
        <w:gridCol w:w="1128"/>
        <w:gridCol w:w="1119"/>
      </w:tblGrid>
      <w:tr>
        <w:trPr>
          <w:trHeight w:val="201" w:hRule="atLeast"/>
        </w:trPr>
        <w:tc>
          <w:tcPr>
            <w:tcW w:w="682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194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4816" w:type="dxa"/>
            <w:vMerge w:val="restart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631" w:right="6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Найменування</w:t>
            </w:r>
          </w:p>
          <w:p>
            <w:pPr>
              <w:pStyle w:val="TableParagraph"/>
              <w:spacing w:line="240" w:lineRule="auto" w:before="20"/>
              <w:ind w:left="631" w:right="6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згідно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 класифікацією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фінансування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бюджету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39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Всього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64" w:lineRule="auto" w:before="1"/>
              <w:ind w:left="454" w:right="216" w:hanging="21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Загальний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  <w:tc>
          <w:tcPr>
            <w:tcW w:w="2247" w:type="dxa"/>
            <w:gridSpan w:val="2"/>
          </w:tcPr>
          <w:p>
            <w:pPr>
              <w:pStyle w:val="TableParagraph"/>
              <w:spacing w:line="181" w:lineRule="exact"/>
              <w:ind w:left="416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Спеціальний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</w:tr>
      <w:tr>
        <w:trPr>
          <w:trHeight w:val="599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30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Всього</w:t>
            </w:r>
          </w:p>
        </w:tc>
        <w:tc>
          <w:tcPr>
            <w:tcW w:w="1119" w:type="dxa"/>
          </w:tcPr>
          <w:p>
            <w:pPr>
              <w:pStyle w:val="TableParagraph"/>
              <w:spacing w:line="271" w:lineRule="auto" w:before="133"/>
              <w:ind w:left="262" w:right="104" w:hanging="14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т.ч.</w:t>
            </w:r>
            <w:r>
              <w:rPr>
                <w:b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бюджет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розвитку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16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</w:tr>
      <w:tr>
        <w:trPr>
          <w:trHeight w:val="393" w:hRule="atLeast"/>
        </w:trPr>
        <w:tc>
          <w:tcPr>
            <w:tcW w:w="68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spacing w:line="240" w:lineRule="auto" w:before="9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Фінансування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бюджету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за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типом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кредитора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1"/>
              <w:ind w:left="187" w:right="21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85.700.751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91"/>
              <w:ind w:left="117" w:right="136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111.898.874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1"/>
              <w:ind w:right="8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197.599.625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91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197.435.875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Внутрішнє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фінансування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85.700.751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6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111.898.874</w:t>
            </w:r>
          </w:p>
        </w:tc>
        <w:tc>
          <w:tcPr>
            <w:tcW w:w="1128" w:type="dxa"/>
          </w:tcPr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197.599.625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197.435.875</w:t>
            </w:r>
          </w:p>
        </w:tc>
      </w:tr>
      <w:tr>
        <w:trPr>
          <w:trHeight w:val="211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202000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рахунок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позик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банківських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установ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287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4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202200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рахунок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інших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банків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287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202210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Одержано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позик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287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50.000.000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60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202220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Погашено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позик</w:t>
            </w:r>
          </w:p>
        </w:tc>
        <w:tc>
          <w:tcPr>
            <w:tcW w:w="1320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рахунок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зміни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залишків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коштів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бюджетів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35.700.751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6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111.898.874</w:t>
            </w:r>
          </w:p>
        </w:tc>
        <w:tc>
          <w:tcPr>
            <w:tcW w:w="1128" w:type="dxa"/>
          </w:tcPr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147.599.625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147.435.875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208100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початок періоду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36.120.371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27.386.046</w:t>
            </w:r>
          </w:p>
        </w:tc>
        <w:tc>
          <w:tcPr>
            <w:tcW w:w="1128" w:type="dxa"/>
          </w:tcPr>
          <w:p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8.734.325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8.262.894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60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208200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кінець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періоду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419.620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50.095</w:t>
            </w:r>
          </w:p>
        </w:tc>
        <w:tc>
          <w:tcPr>
            <w:tcW w:w="1128" w:type="dxa"/>
          </w:tcPr>
          <w:p>
            <w:pPr>
              <w:pStyle w:val="TableParagraph"/>
              <w:ind w:left="233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369.525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61.844</w:t>
            </w:r>
          </w:p>
        </w:tc>
      </w:tr>
      <w:tr>
        <w:trPr>
          <w:trHeight w:val="436" w:hRule="atLeast"/>
        </w:trPr>
        <w:tc>
          <w:tcPr>
            <w:tcW w:w="682" w:type="dxa"/>
          </w:tcPr>
          <w:p>
            <w:pPr>
              <w:pStyle w:val="TableParagraph"/>
              <w:spacing w:line="240" w:lineRule="auto" w:before="110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208400</w:t>
            </w:r>
          </w:p>
        </w:tc>
        <w:tc>
          <w:tcPr>
            <w:tcW w:w="4816" w:type="dxa"/>
          </w:tcPr>
          <w:p>
            <w:pPr>
              <w:pStyle w:val="TableParagraph"/>
              <w:spacing w:line="202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Кошти,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передаються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із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загального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фонду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7"/>
                <w:w w:val="105"/>
                <w:sz w:val="18"/>
              </w:rPr>
              <w:t>до</w:t>
            </w:r>
          </w:p>
          <w:p>
            <w:pPr>
              <w:pStyle w:val="TableParagraph"/>
              <w:spacing w:before="24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бюджету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розвитку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9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110"/>
              <w:ind w:left="117" w:right="136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139.234.825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10"/>
              <w:ind w:right="8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139.234.825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110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139.234.825</w:t>
            </w: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spacing w:line="240" w:lineRule="auto" w:before="100"/>
              <w:ind w:left="2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Фінансування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бюджету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за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типом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боргового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зобов"язання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00"/>
              <w:ind w:left="187" w:right="211"/>
              <w:rPr>
                <w:b/>
                <w:sz w:val="18"/>
              </w:rPr>
            </w:pPr>
            <w:r>
              <w:rPr>
                <w:b/>
                <w:color w:val="0000FF"/>
                <w:spacing w:val="-2"/>
                <w:w w:val="105"/>
                <w:sz w:val="18"/>
              </w:rPr>
              <w:t>85.700.751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100"/>
              <w:ind w:left="117" w:right="136"/>
              <w:rPr>
                <w:sz w:val="18"/>
              </w:rPr>
            </w:pPr>
            <w:r>
              <w:rPr>
                <w:color w:val="0000FF"/>
                <w:spacing w:val="-4"/>
                <w:sz w:val="18"/>
              </w:rPr>
              <w:t>-</w:t>
            </w:r>
            <w:r>
              <w:rPr>
                <w:color w:val="0000FF"/>
                <w:spacing w:val="-2"/>
                <w:w w:val="105"/>
                <w:sz w:val="18"/>
              </w:rPr>
              <w:t>111.898.874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00"/>
              <w:ind w:right="88"/>
              <w:jc w:val="right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197.599.625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100"/>
              <w:ind w:left="59" w:right="82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197.435.875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60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400000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борговими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операціями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287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0000FF"/>
                <w:w w:val="104"/>
                <w:sz w:val="18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60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401100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Внутрішні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запозичення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287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0000FF"/>
                <w:w w:val="104"/>
                <w:sz w:val="18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60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401102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Середньострокові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зобов"язання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50.000.000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600000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 за активними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операціями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35.700.751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6"/>
              <w:rPr>
                <w:sz w:val="18"/>
              </w:rPr>
            </w:pPr>
            <w:r>
              <w:rPr>
                <w:color w:val="0000FF"/>
                <w:spacing w:val="-4"/>
                <w:sz w:val="18"/>
              </w:rPr>
              <w:t>-</w:t>
            </w:r>
            <w:r>
              <w:rPr>
                <w:color w:val="0000FF"/>
                <w:spacing w:val="-2"/>
                <w:w w:val="105"/>
                <w:sz w:val="18"/>
              </w:rPr>
              <w:t>111.898.874</w:t>
            </w:r>
          </w:p>
        </w:tc>
        <w:tc>
          <w:tcPr>
            <w:tcW w:w="1128" w:type="dxa"/>
          </w:tcPr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147.599.625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147.435.875</w:t>
            </w:r>
          </w:p>
        </w:tc>
      </w:tr>
      <w:tr>
        <w:trPr>
          <w:trHeight w:val="211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602000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Зміни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обсягів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готівкових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коштів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35.700.751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6"/>
              <w:rPr>
                <w:sz w:val="18"/>
              </w:rPr>
            </w:pPr>
            <w:r>
              <w:rPr>
                <w:color w:val="0000FF"/>
                <w:spacing w:val="-4"/>
                <w:sz w:val="18"/>
              </w:rPr>
              <w:t>-</w:t>
            </w:r>
            <w:r>
              <w:rPr>
                <w:color w:val="0000FF"/>
                <w:spacing w:val="-2"/>
                <w:w w:val="105"/>
                <w:sz w:val="18"/>
              </w:rPr>
              <w:t>111.898.874</w:t>
            </w:r>
          </w:p>
        </w:tc>
        <w:tc>
          <w:tcPr>
            <w:tcW w:w="1128" w:type="dxa"/>
          </w:tcPr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147.599.625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147.435.875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602100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початок періоду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36.120.371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6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27.386.046</w:t>
            </w:r>
          </w:p>
        </w:tc>
        <w:tc>
          <w:tcPr>
            <w:tcW w:w="1128" w:type="dxa"/>
          </w:tcPr>
          <w:p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8.734.325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8.262.894</w:t>
            </w:r>
          </w:p>
        </w:tc>
      </w:tr>
      <w:tr>
        <w:trPr>
          <w:trHeight w:val="210" w:hRule="atLeast"/>
        </w:trPr>
        <w:tc>
          <w:tcPr>
            <w:tcW w:w="682" w:type="dxa"/>
          </w:tcPr>
          <w:p>
            <w:pPr>
              <w:pStyle w:val="TableParagraph"/>
              <w:ind w:left="60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602200</w:t>
            </w:r>
          </w:p>
        </w:tc>
        <w:tc>
          <w:tcPr>
            <w:tcW w:w="4816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кінець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періоду</w:t>
            </w:r>
          </w:p>
        </w:tc>
        <w:tc>
          <w:tcPr>
            <w:tcW w:w="1320" w:type="dxa"/>
          </w:tcPr>
          <w:p>
            <w:pPr>
              <w:pStyle w:val="TableParagraph"/>
              <w:ind w:left="205" w:right="193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419.620</w:t>
            </w:r>
          </w:p>
        </w:tc>
        <w:tc>
          <w:tcPr>
            <w:tcW w:w="1287" w:type="dxa"/>
          </w:tcPr>
          <w:p>
            <w:pPr>
              <w:pStyle w:val="TableParagraph"/>
              <w:ind w:left="117" w:right="135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50.095</w:t>
            </w:r>
          </w:p>
        </w:tc>
        <w:tc>
          <w:tcPr>
            <w:tcW w:w="1128" w:type="dxa"/>
          </w:tcPr>
          <w:p>
            <w:pPr>
              <w:pStyle w:val="TableParagraph"/>
              <w:ind w:left="233"/>
              <w:jc w:val="left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369.525</w:t>
            </w:r>
          </w:p>
        </w:tc>
        <w:tc>
          <w:tcPr>
            <w:tcW w:w="1119" w:type="dxa"/>
          </w:tcPr>
          <w:p>
            <w:pPr>
              <w:pStyle w:val="TableParagraph"/>
              <w:ind w:left="59" w:right="81"/>
              <w:rPr>
                <w:sz w:val="18"/>
              </w:rPr>
            </w:pPr>
            <w:r>
              <w:rPr>
                <w:color w:val="0000FF"/>
                <w:spacing w:val="-2"/>
                <w:w w:val="105"/>
                <w:sz w:val="18"/>
              </w:rPr>
              <w:t>61.844</w:t>
            </w:r>
          </w:p>
        </w:tc>
      </w:tr>
      <w:tr>
        <w:trPr>
          <w:trHeight w:val="436" w:hRule="atLeast"/>
        </w:trPr>
        <w:tc>
          <w:tcPr>
            <w:tcW w:w="682" w:type="dxa"/>
          </w:tcPr>
          <w:p>
            <w:pPr>
              <w:pStyle w:val="TableParagraph"/>
              <w:spacing w:line="240" w:lineRule="auto" w:before="110"/>
              <w:ind w:left="23" w:right="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602400</w:t>
            </w:r>
          </w:p>
        </w:tc>
        <w:tc>
          <w:tcPr>
            <w:tcW w:w="4816" w:type="dxa"/>
          </w:tcPr>
          <w:p>
            <w:pPr>
              <w:pStyle w:val="TableParagraph"/>
              <w:spacing w:line="202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Кошти,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передаються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із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загального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фонду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7"/>
                <w:w w:val="105"/>
                <w:sz w:val="18"/>
              </w:rPr>
              <w:t>до</w:t>
            </w:r>
          </w:p>
          <w:p>
            <w:pPr>
              <w:pStyle w:val="TableParagraph"/>
              <w:spacing w:before="2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бюджету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розвитку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19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color w:val="0000FF"/>
                <w:w w:val="104"/>
                <w:sz w:val="18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110"/>
              <w:ind w:left="117" w:right="136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139.234.825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10"/>
              <w:ind w:right="8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139.234.825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110"/>
              <w:ind w:left="59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139.234.825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9374" w:val="left" w:leader="none"/>
        </w:tabs>
        <w:ind w:left="141"/>
      </w:pPr>
      <w:r>
        <w:rPr>
          <w:w w:val="95"/>
        </w:rPr>
        <w:t>Начальник</w:t>
      </w:r>
      <w:r>
        <w:rPr>
          <w:spacing w:val="23"/>
        </w:rPr>
        <w:t> </w:t>
      </w:r>
      <w:r>
        <w:rPr>
          <w:w w:val="95"/>
        </w:rPr>
        <w:t>фінансового</w:t>
      </w:r>
      <w:r>
        <w:rPr>
          <w:spacing w:val="18"/>
        </w:rPr>
        <w:t> </w:t>
      </w:r>
      <w:r>
        <w:rPr>
          <w:w w:val="95"/>
        </w:rPr>
        <w:t>управління</w:t>
      </w:r>
      <w:r>
        <w:rPr>
          <w:spacing w:val="22"/>
        </w:rPr>
        <w:t> </w:t>
      </w:r>
      <w:r>
        <w:rPr>
          <w:w w:val="95"/>
        </w:rPr>
        <w:t>Мелітопольської</w:t>
      </w:r>
      <w:r>
        <w:rPr>
          <w:spacing w:val="17"/>
        </w:rPr>
        <w:t> </w:t>
      </w:r>
      <w:r>
        <w:rPr>
          <w:w w:val="95"/>
        </w:rPr>
        <w:t>міської</w:t>
      </w:r>
      <w:r>
        <w:rPr>
          <w:spacing w:val="17"/>
        </w:rPr>
        <w:t> </w:t>
      </w:r>
      <w:r>
        <w:rPr>
          <w:spacing w:val="-4"/>
          <w:w w:val="95"/>
        </w:rPr>
        <w:t>ради</w:t>
      </w:r>
      <w:r>
        <w:rPr/>
        <w:tab/>
        <w:t>Я.</w:t>
      </w:r>
      <w:r>
        <w:rPr>
          <w:spacing w:val="-4"/>
        </w:rPr>
        <w:t> </w:t>
      </w:r>
      <w:r>
        <w:rPr>
          <w:spacing w:val="-2"/>
        </w:rPr>
        <w:t>ЧАБАН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374" w:val="left" w:leader="none"/>
        </w:tabs>
        <w:spacing w:before="92"/>
        <w:ind w:left="141"/>
      </w:pPr>
      <w:r>
        <w:rPr>
          <w:spacing w:val="-2"/>
        </w:rPr>
        <w:t>Мелітопольський</w:t>
      </w:r>
      <w:r>
        <w:rPr>
          <w:spacing w:val="-4"/>
        </w:rPr>
        <w:t> </w:t>
      </w:r>
      <w:r>
        <w:rPr>
          <w:spacing w:val="-2"/>
        </w:rPr>
        <w:t>міський</w:t>
      </w:r>
      <w:r>
        <w:rPr>
          <w:spacing w:val="-3"/>
        </w:rPr>
        <w:t> </w:t>
      </w:r>
      <w:r>
        <w:rPr>
          <w:spacing w:val="-2"/>
        </w:rPr>
        <w:t>голова</w:t>
      </w:r>
      <w:r>
        <w:rPr/>
        <w:tab/>
        <w:t>С.</w:t>
      </w:r>
      <w:r>
        <w:rPr>
          <w:spacing w:val="-4"/>
        </w:rPr>
        <w:t> </w:t>
      </w:r>
      <w:r>
        <w:rPr>
          <w:spacing w:val="-2"/>
        </w:rPr>
        <w:t>МІНЬКО</w:t>
      </w:r>
    </w:p>
    <w:sectPr>
      <w:type w:val="continuous"/>
      <w:pgSz w:w="12240" w:h="15840"/>
      <w:pgMar w:top="1500" w:bottom="280" w:left="9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194" w:right="3236"/>
      <w:jc w:val="center"/>
    </w:pPr>
    <w:rPr>
      <w:rFonts w:ascii="Times New Roman" w:hAnsi="Times New Roman" w:eastAsia="Times New Roman" w:cs="Times New Roman"/>
      <w:sz w:val="19"/>
      <w:szCs w:val="1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91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2021-11-04T06:12:02Z</dcterms:created>
  <dcterms:modified xsi:type="dcterms:W3CDTF">2021-11-04T06:12:02Z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